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80"/>
      </w:pPr>
      <w:r>
        <w:drawing>
          <wp:inline xmlns:a="http://schemas.openxmlformats.org/drawingml/2006/main" xmlns:pic="http://schemas.openxmlformats.org/drawingml/2006/picture">
            <wp:extent cx="2057400" cy="382348"/>
            <wp:docPr id="1" name="Picture 1" descr="Stridelane wordmark" title="Stridelane"/>
            <wp:cNvGraphicFramePr>
              <a:graphicFrameLocks noChangeAspect="1"/>
            </wp:cNvGraphicFramePr>
            <a:graphic>
              <a:graphicData uri="http://schemas.openxmlformats.org/drawingml/2006/picture">
                <pic:pic>
                  <pic:nvPicPr>
                    <pic:cNvPr id="0" name="stridelane_wordmark_fixed.png"/>
                    <pic:cNvPicPr/>
                  </pic:nvPicPr>
                  <pic:blipFill>
                    <a:blip r:embed="rId10"/>
                    <a:stretch>
                      <a:fillRect/>
                    </a:stretch>
                  </pic:blipFill>
                  <pic:spPr>
                    <a:xfrm>
                      <a:off x="0" y="0"/>
                      <a:ext cx="2057400" cy="382348"/>
                    </a:xfrm>
                    <a:prstGeom prst="rect"/>
                  </pic:spPr>
                </pic:pic>
              </a:graphicData>
            </a:graphic>
          </wp:inline>
        </w:drawing>
      </w:r>
    </w:p>
    <w:p>
      <w:pPr>
        <w:spacing w:before="0" w:after="40"/>
      </w:pPr>
      <w:r>
        <w:rPr>
          <w:rFonts w:ascii="Calibri" w:hAnsi="Calibri"/>
          <w:b/>
          <w:i w:val="0"/>
          <w:color w:val="1677FF"/>
          <w:sz w:val="19"/>
        </w:rPr>
        <w:t>SYSTEM BUYER PACKET | EARLY ADOPTER RELEASE</w:t>
      </w:r>
    </w:p>
    <w:p>
      <w:pPr>
        <w:keepNext/>
        <w:spacing w:before="0" w:after="140"/>
      </w:pPr>
      <w:r>
        <w:rPr>
          <w:rFonts w:ascii="Calibri" w:hAnsi="Calibri"/>
          <w:b/>
          <w:i w:val="0"/>
          <w:color w:val="091D3A"/>
          <w:sz w:val="60"/>
        </w:rPr>
        <w:t>Own the pace.</w:t>
      </w:r>
    </w:p>
    <w:p>
      <w:pPr>
        <w:spacing w:before="0" w:after="360"/>
      </w:pPr>
      <w:r>
        <w:rPr>
          <w:rFonts w:ascii="Calibri" w:hAnsi="Calibri"/>
          <w:b w:val="0"/>
          <w:i w:val="0"/>
          <w:color w:val="586270"/>
          <w:sz w:val="27"/>
        </w:rPr>
        <w:t>Pricing, setup, procurement, and pre-order information for the Stridelane pacing light system.</w:t>
      </w:r>
    </w:p>
    <w:tbl>
      <w:tblPr>
        <w:tblW w:type="dxa" w:w="9360"/>
        <w:jc w:val="left"/>
        <w:tblLayout w:type="fixed"/>
        <w:tblLook w:firstColumn="1" w:firstRow="1" w:lastColumn="0" w:lastRow="0" w:noHBand="0" w:noVBand="1" w:val="04A0"/>
        <w:tblInd w:type="dxa" w:w="120"/>
      </w:tblPr>
      <w:tblGrid>
        <w:gridCol w:w="9360"/>
      </w:tblGrid>
      <w:tr>
        <w:trPr/>
        <w:tc>
          <w:tcPr>
            <w:tcW w:type="dxa" w:w="9360"/>
            <w:shd w:fill="EAF3FF"/>
            <w:tcBorders>
              <w:top w:val="single" w:sz="10" w:color="B9D7FF"/>
              <w:left w:val="single" w:sz="10" w:color="B9D7FF"/>
              <w:bottom w:val="single" w:sz="10" w:color="B9D7FF"/>
              <w:right w:val="single" w:sz="10" w:color="B9D7FF"/>
              <w:insideH w:val="single" w:sz="10" w:color="B9D7FF"/>
              <w:insideV w:val="single" w:sz="10" w:color="B9D7FF"/>
            </w:tcBorders>
            <w:vAlign w:val="center"/>
            <w:tcMar>
              <w:top w:w="80" w:type="dxa"/>
              <w:bottom w:w="80" w:type="dxa"/>
              <w:start w:w="120" w:type="dxa"/>
              <w:end w:w="120" w:type="dxa"/>
            </w:tcMar>
          </w:tcPr>
          <w:p>
            <w:pPr>
              <w:spacing w:after="0"/>
            </w:pPr>
            <w:r>
              <w:rPr>
                <w:rFonts w:ascii="Calibri" w:hAnsi="Calibri"/>
                <w:b/>
                <w:i w:val="0"/>
                <w:color w:val="091D3A"/>
                <w:sz w:val="22"/>
              </w:rPr>
              <w:t xml:space="preserve">Important: </w:t>
            </w:r>
            <w:r>
              <w:rPr>
                <w:rFonts w:ascii="Calibri" w:hAnsi="Calibri"/>
                <w:b w:val="0"/>
                <w:i w:val="0"/>
                <w:color w:val="191F28"/>
                <w:sz w:val="22"/>
              </w:rPr>
              <w:t>The website pre-order form is an information request only. It does not collect payment or create a purchase obligation. Price is locked when the purchase agreement is signed.</w:t>
            </w:r>
          </w:p>
        </w:tc>
      </w:tr>
    </w:tbl>
    <w:p>
      <w:pPr>
        <w:spacing w:after="40"/>
      </w:pPr>
    </w:p>
    <w:p>
      <w:pPr>
        <w:pStyle w:val="Heading1"/>
      </w:pPr>
      <w:r>
        <w:t>At a glance</w:t>
      </w:r>
    </w:p>
    <w:tbl>
      <w:tblPr>
        <w:tblStyle w:val="TableGrid"/>
        <w:tblW w:type="dxa" w:w="9360"/>
        <w:jc w:val="left"/>
        <w:tblLayout w:type="fixed"/>
        <w:tblLook w:firstColumn="1" w:firstRow="1" w:lastColumn="0" w:lastRow="0" w:noHBand="0" w:noVBand="1" w:val="04A0"/>
        <w:tblInd w:type="dxa" w:w="120"/>
      </w:tblPr>
      <w:tblGrid>
        <w:gridCol w:w="2700"/>
        <w:gridCol w:w="6660"/>
      </w:tblGrid>
      <w:tr>
        <w:trPr>
          <w:tblHeader w:val="true"/>
        </w:trPr>
        <w:tc>
          <w:tcPr>
            <w:tcW w:type="dxa" w:w="2700"/>
            <w:shd w:fill="F2F4F7"/>
            <w:tcBorders>
              <w:top w:val="single" w:sz="8" w:color="D9DEE7"/>
              <w:left w:val="single" w:sz="8" w:color="D9DEE7"/>
              <w:bottom w:val="single" w:sz="8" w:color="D9DEE7"/>
              <w:right w:val="single" w:sz="8" w:color="D9DEE7"/>
              <w:insideH w:val="single" w:sz="8" w:color="D9DEE7"/>
              <w:insideV w:val="single" w:sz="8" w:color="D9DEE7"/>
            </w:tcBorders>
            <w:vAlign w:val="center"/>
            <w:tcMar>
              <w:top w:w="80" w:type="dxa"/>
              <w:bottom w:w="80" w:type="dxa"/>
              <w:start w:w="120" w:type="dxa"/>
              <w:end w:w="120" w:type="dxa"/>
            </w:tcMar>
          </w:tcPr>
          <w:p>
            <w:r>
              <w:rPr>
                <w:rFonts w:ascii="Calibri" w:hAnsi="Calibri"/>
                <w:b/>
                <w:i w:val="0"/>
                <w:color w:val="091D3A"/>
                <w:sz w:val="21"/>
              </w:rPr>
              <w:t>Decision point</w:t>
            </w:r>
          </w:p>
        </w:tc>
        <w:tc>
          <w:tcPr>
            <w:tcW w:type="dxa" w:w="6660"/>
            <w:shd w:fill="F2F4F7"/>
            <w:tcBorders>
              <w:top w:val="single" w:sz="8" w:color="D9DEE7"/>
              <w:left w:val="single" w:sz="8" w:color="D9DEE7"/>
              <w:bottom w:val="single" w:sz="8" w:color="D9DEE7"/>
              <w:right w:val="single" w:sz="8" w:color="D9DEE7"/>
              <w:insideH w:val="single" w:sz="8" w:color="D9DEE7"/>
              <w:insideV w:val="single" w:sz="8" w:color="D9DEE7"/>
            </w:tcBorders>
            <w:vAlign w:val="center"/>
            <w:tcMar>
              <w:top w:w="80" w:type="dxa"/>
              <w:bottom w:w="80" w:type="dxa"/>
              <w:start w:w="120" w:type="dxa"/>
              <w:end w:w="120" w:type="dxa"/>
            </w:tcMar>
          </w:tcPr>
          <w:p>
            <w:r>
              <w:rPr>
                <w:rFonts w:ascii="Calibri" w:hAnsi="Calibri"/>
                <w:b/>
                <w:i w:val="0"/>
                <w:color w:val="091D3A"/>
                <w:sz w:val="21"/>
              </w:rPr>
              <w:t>Stridelane system</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400m single-budget purchase</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$24,999 lowest early adopter price</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200m single-budget purchase</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$14,999 lowest early adopter price</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Early adopter delivery</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First batch begins October 2026</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Lead time</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Approximately four weeks</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Setup</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About one hour with two people</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Power</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One standard outlet</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Placement</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Semi-permanent and movable</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Purchase orders</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Accepted</w:t>
            </w:r>
          </w:p>
        </w:tc>
      </w:tr>
    </w:tbl>
    <w:p>
      <w:pPr>
        <w:spacing w:before="160" w:after="0"/>
      </w:pPr>
      <w:r>
        <w:rPr>
          <w:rFonts w:ascii="Calibri" w:hAnsi="Calibri"/>
          <w:b w:val="0"/>
          <w:i/>
          <w:color w:val="586270"/>
          <w:sz w:val="19"/>
        </w:rPr>
        <w:t>Sales tax is not included. Many school and public programs may qualify for exemption; the buyer is responsible for providing any required exemption documentation.</w:t>
      </w:r>
    </w:p>
    <w:p>
      <w:r>
        <w:br w:type="page"/>
      </w:r>
    </w:p>
    <w:p>
      <w:pPr>
        <w:spacing w:before="0" w:after="40"/>
      </w:pPr>
      <w:r>
        <w:rPr>
          <w:rFonts w:ascii="Calibri" w:hAnsi="Calibri"/>
          <w:b/>
          <w:i w:val="0"/>
          <w:color w:val="1677FF"/>
          <w:sz w:val="19"/>
        </w:rPr>
        <w:t>SYSTEM SCOPE</w:t>
      </w:r>
    </w:p>
    <w:p>
      <w:pPr>
        <w:keepNext/>
        <w:spacing w:before="0" w:after="140"/>
      </w:pPr>
      <w:r>
        <w:rPr>
          <w:rFonts w:ascii="Calibri" w:hAnsi="Calibri"/>
          <w:b/>
          <w:i w:val="0"/>
          <w:color w:val="091D3A"/>
          <w:sz w:val="60"/>
        </w:rPr>
        <w:t>What your program receives</w:t>
      </w:r>
    </w:p>
    <w:p>
      <w:pPr>
        <w:pStyle w:val="Heading1"/>
      </w:pPr>
      <w:r>
        <w:t>Included with either system length</w:t>
      </w:r>
    </w:p>
    <w:p>
      <w:pPr>
        <w:pStyle w:val="ListBullet"/>
      </w:pPr>
      <w:r>
        <w:rPr>
          <w:rFonts w:ascii="Calibri" w:hAnsi="Calibri"/>
          <w:b w:val="0"/>
          <w:i w:val="0"/>
          <w:color w:val="191F28"/>
          <w:sz w:val="22"/>
        </w:rPr>
        <w:t>Pace lights sized for the selected 200m or 400m configuration</w:t>
      </w:r>
    </w:p>
    <w:p>
      <w:pPr>
        <w:pStyle w:val="ListBullet"/>
      </w:pPr>
      <w:r>
        <w:rPr>
          <w:rFonts w:ascii="Calibri" w:hAnsi="Calibri"/>
          <w:b w:val="0"/>
          <w:i w:val="0"/>
          <w:color w:val="191F28"/>
          <w:sz w:val="22"/>
        </w:rPr>
        <w:t>Stridelane pacing software</w:t>
      </w:r>
    </w:p>
    <w:p>
      <w:pPr>
        <w:pStyle w:val="ListBullet"/>
      </w:pPr>
      <w:r>
        <w:rPr>
          <w:rFonts w:ascii="Calibri" w:hAnsi="Calibri"/>
          <w:b w:val="0"/>
          <w:i w:val="0"/>
          <w:color w:val="191F28"/>
          <w:sz w:val="22"/>
        </w:rPr>
        <w:t>Controller box</w:t>
      </w:r>
    </w:p>
    <w:p>
      <w:pPr>
        <w:pStyle w:val="ListBullet"/>
      </w:pPr>
      <w:r>
        <w:rPr>
          <w:rFonts w:ascii="Calibri" w:hAnsi="Calibri"/>
          <w:b w:val="0"/>
          <w:i w:val="0"/>
          <w:color w:val="191F28"/>
          <w:sz w:val="22"/>
        </w:rPr>
        <w:t>Two road travel cases for storage and transport</w:t>
      </w:r>
    </w:p>
    <w:p>
      <w:pPr>
        <w:pStyle w:val="ListBullet"/>
      </w:pPr>
      <w:r>
        <w:rPr>
          <w:rFonts w:ascii="Calibri" w:hAnsi="Calibri"/>
          <w:b w:val="0"/>
          <w:i w:val="0"/>
          <w:color w:val="191F28"/>
          <w:sz w:val="22"/>
        </w:rPr>
        <w:t>Two-year limited warranty, subject to the written warranty terms</w:t>
      </w:r>
    </w:p>
    <w:p>
      <w:pPr>
        <w:pStyle w:val="ListBullet"/>
      </w:pPr>
      <w:r>
        <w:rPr>
          <w:rFonts w:ascii="Calibri" w:hAnsi="Calibri"/>
          <w:b w:val="0"/>
          <w:i w:val="0"/>
          <w:color w:val="191F28"/>
          <w:sz w:val="22"/>
        </w:rPr>
        <w:t>Access to purchasable replacement parts</w:t>
      </w:r>
    </w:p>
    <w:p>
      <w:pPr>
        <w:pStyle w:val="Heading1"/>
      </w:pPr>
      <w:r>
        <w:t>Site and setup requirements</w:t>
      </w:r>
    </w:p>
    <w:tbl>
      <w:tblPr>
        <w:tblStyle w:val="TableGrid"/>
        <w:tblW w:type="dxa" w:w="9360"/>
        <w:jc w:val="left"/>
        <w:tblLayout w:type="fixed"/>
        <w:tblLook w:firstColumn="1" w:firstRow="1" w:lastColumn="0" w:lastRow="0" w:noHBand="0" w:noVBand="1" w:val="04A0"/>
        <w:tblInd w:type="dxa" w:w="120"/>
      </w:tblPr>
      <w:tblGrid>
        <w:gridCol w:w="2700"/>
        <w:gridCol w:w="6660"/>
      </w:tblGrid>
      <w:tr>
        <w:trPr>
          <w:tblHeader w:val="true"/>
        </w:trPr>
        <w:tc>
          <w:tcPr>
            <w:tcW w:type="dxa" w:w="2700"/>
            <w:shd w:fill="F2F4F7"/>
            <w:tcBorders>
              <w:top w:val="single" w:sz="8" w:color="D9DEE7"/>
              <w:left w:val="single" w:sz="8" w:color="D9DEE7"/>
              <w:bottom w:val="single" w:sz="8" w:color="D9DEE7"/>
              <w:right w:val="single" w:sz="8" w:color="D9DEE7"/>
              <w:insideH w:val="single" w:sz="8" w:color="D9DEE7"/>
              <w:insideV w:val="single" w:sz="8" w:color="D9DEE7"/>
            </w:tcBorders>
            <w:vAlign w:val="center"/>
            <w:tcMar>
              <w:top w:w="80" w:type="dxa"/>
              <w:bottom w:w="80" w:type="dxa"/>
              <w:start w:w="120" w:type="dxa"/>
              <w:end w:w="120" w:type="dxa"/>
            </w:tcMar>
          </w:tcPr>
          <w:p>
            <w:r>
              <w:rPr>
                <w:rFonts w:ascii="Calibri" w:hAnsi="Calibri"/>
                <w:b/>
                <w:i w:val="0"/>
                <w:color w:val="091D3A"/>
                <w:sz w:val="21"/>
              </w:rPr>
              <w:t>Decision point</w:t>
            </w:r>
          </w:p>
        </w:tc>
        <w:tc>
          <w:tcPr>
            <w:tcW w:type="dxa" w:w="6660"/>
            <w:shd w:fill="F2F4F7"/>
            <w:tcBorders>
              <w:top w:val="single" w:sz="8" w:color="D9DEE7"/>
              <w:left w:val="single" w:sz="8" w:color="D9DEE7"/>
              <w:bottom w:val="single" w:sz="8" w:color="D9DEE7"/>
              <w:right w:val="single" w:sz="8" w:color="D9DEE7"/>
              <w:insideH w:val="single" w:sz="8" w:color="D9DEE7"/>
              <w:insideV w:val="single" w:sz="8" w:color="D9DEE7"/>
            </w:tcBorders>
            <w:vAlign w:val="center"/>
            <w:tcMar>
              <w:top w:w="80" w:type="dxa"/>
              <w:bottom w:w="80" w:type="dxa"/>
              <w:start w:w="120" w:type="dxa"/>
              <w:end w:w="120" w:type="dxa"/>
            </w:tcMar>
          </w:tcPr>
          <w:p>
            <w:r>
              <w:rPr>
                <w:rFonts w:ascii="Calibri" w:hAnsi="Calibri"/>
                <w:b/>
                <w:i w:val="0"/>
                <w:color w:val="091D3A"/>
                <w:sz w:val="21"/>
              </w:rPr>
              <w:t>Stridelane system</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Installation responsibility</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Buyer installs the system; Stridelane installation is not included</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Typical crew</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Two people</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Typical setup time</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Approximately one hour</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Electrical requirement</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One standard outlet</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Outdoor use</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System components are designed for waterproof operation</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Storage</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Store the system in the supplied road cases when not in use</w:t>
            </w:r>
          </w:p>
        </w:tc>
      </w:tr>
      <w:tr>
        <w:trPr/>
        <w:tc>
          <w:tcPr>
            <w:tcW w:type="dxa" w:w="270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i w:val="0"/>
                <w:color w:val="091D3A"/>
                <w:sz w:val="21"/>
              </w:rPr>
              <w:t>Configuration</w:t>
            </w:r>
          </w:p>
        </w:tc>
        <w:tc>
          <w:tcPr>
            <w:tcW w:type="dxa" w:w="6660"/>
            <w:vAlign w:val="center"/>
            <w:tcBorders>
              <w:top w:val="single" w:sz="8" w:color="D9DEE7"/>
              <w:left w:val="single" w:sz="8" w:color="D9DEE7"/>
              <w:bottom w:val="single" w:sz="8" w:color="D9DEE7"/>
              <w:right w:val="single" w:sz="8" w:color="D9DEE7"/>
              <w:insideH w:val="single" w:sz="8" w:color="D9DEE7"/>
              <w:insideV w:val="single" w:sz="8" w:color="D9DEE7"/>
            </w:tcBorders>
            <w:tcMar>
              <w:top w:w="80" w:type="dxa"/>
              <w:bottom w:w="80" w:type="dxa"/>
              <w:start w:w="120" w:type="dxa"/>
              <w:end w:w="120" w:type="dxa"/>
            </w:tcMar>
          </w:tcPr>
          <w:p>
            <w:pPr>
              <w:spacing w:after="0"/>
            </w:pPr>
            <w:r>
              <w:rPr>
                <w:rFonts w:ascii="Calibri" w:hAnsi="Calibri"/>
                <w:b w:val="0"/>
                <w:i w:val="0"/>
                <w:color w:val="191F28"/>
                <w:sz w:val="21"/>
              </w:rPr>
              <w:t>Semi-permanent installation that can be moved</w:t>
            </w:r>
          </w:p>
        </w:tc>
      </w:tr>
    </w:tbl>
    <w:tbl>
      <w:tblPr>
        <w:tblW w:type="dxa" w:w="9360"/>
        <w:jc w:val="left"/>
        <w:tblLayout w:type="fixed"/>
        <w:tblLook w:firstColumn="1" w:firstRow="1" w:lastColumn="0" w:lastRow="0" w:noHBand="0" w:noVBand="1" w:val="04A0"/>
        <w:tblInd w:type="dxa" w:w="120"/>
      </w:tblPr>
      <w:tblGrid>
        <w:gridCol w:w="9360"/>
      </w:tblGrid>
      <w:tr>
        <w:trPr/>
        <w:tc>
          <w:tcPr>
            <w:tcW w:type="dxa" w:w="9360"/>
            <w:shd w:fill="FFF7E3"/>
            <w:tcBorders>
              <w:top w:val="single" w:sz="10" w:color="B9D7FF"/>
              <w:left w:val="single" w:sz="10" w:color="B9D7FF"/>
              <w:bottom w:val="single" w:sz="10" w:color="B9D7FF"/>
              <w:right w:val="single" w:sz="10" w:color="B9D7FF"/>
              <w:insideH w:val="single" w:sz="10" w:color="B9D7FF"/>
              <w:insideV w:val="single" w:sz="10" w:color="B9D7FF"/>
            </w:tcBorders>
            <w:vAlign w:val="center"/>
            <w:tcMar>
              <w:top w:w="80" w:type="dxa"/>
              <w:bottom w:w="80" w:type="dxa"/>
              <w:start w:w="120" w:type="dxa"/>
              <w:end w:w="120" w:type="dxa"/>
            </w:tcMar>
          </w:tcPr>
          <w:p>
            <w:pPr>
              <w:spacing w:after="0"/>
            </w:pPr>
            <w:r>
              <w:rPr>
                <w:rFonts w:ascii="Calibri" w:hAnsi="Calibri"/>
                <w:b/>
                <w:i w:val="0"/>
                <w:color w:val="091D3A"/>
                <w:sz w:val="22"/>
              </w:rPr>
              <w:t xml:space="preserve">Before ordering: </w:t>
            </w:r>
            <w:r>
              <w:rPr>
                <w:rFonts w:ascii="Calibri" w:hAnsi="Calibri"/>
                <w:b w:val="0"/>
                <w:i w:val="0"/>
                <w:color w:val="191F28"/>
                <w:sz w:val="22"/>
              </w:rPr>
              <w:t>Confirm the intended track length, outlet access, storage location, setup crew, and purchasing authority for your program.</w:t>
            </w:r>
          </w:p>
        </w:tc>
      </w:tr>
    </w:tbl>
    <w:p>
      <w:pPr>
        <w:spacing w:after="40"/>
      </w:pPr>
    </w:p>
    <w:p>
      <w:pPr>
        <w:pStyle w:val="Heading1"/>
      </w:pPr>
      <w:r>
        <w:t>Warranty, storage, and replacement parts</w:t>
      </w:r>
    </w:p>
    <w:p>
      <w:r>
        <w:rPr>
          <w:rFonts w:ascii="Calibri" w:hAnsi="Calibri"/>
          <w:b w:val="0"/>
          <w:i w:val="0"/>
          <w:color w:val="191F28"/>
          <w:sz w:val="22"/>
        </w:rPr>
        <w:t>The system includes a two-year limited warranty. The written warranty supplied with the purchase agreement defines covered damage and any exclusions. Replacement parts remain available for purchase. When the system is not in use, store its components in the two supplied road travel cases.</w:t>
      </w:r>
    </w:p>
    <w:p>
      <w:r>
        <w:br w:type="page"/>
      </w:r>
    </w:p>
    <w:p>
      <w:pPr>
        <w:spacing w:before="0" w:after="40"/>
      </w:pPr>
      <w:r>
        <w:rPr>
          <w:rFonts w:ascii="Calibri" w:hAnsi="Calibri"/>
          <w:b/>
          <w:i w:val="0"/>
          <w:color w:val="1677FF"/>
          <w:sz w:val="19"/>
        </w:rPr>
        <w:t>PURCHASE PATH</w:t>
      </w:r>
    </w:p>
    <w:p>
      <w:pPr>
        <w:keepNext/>
        <w:spacing w:before="0" w:after="140"/>
      </w:pPr>
      <w:r>
        <w:rPr>
          <w:rFonts w:ascii="Calibri" w:hAnsi="Calibri"/>
          <w:b/>
          <w:i w:val="0"/>
          <w:color w:val="091D3A"/>
          <w:sz w:val="60"/>
        </w:rPr>
        <w:t>A clear path from interest to delivery</w:t>
      </w:r>
    </w:p>
    <w:p>
      <w:pPr>
        <w:pStyle w:val="ListNumber"/>
      </w:pPr>
      <w:r>
        <w:rPr>
          <w:rFonts w:ascii="Calibri" w:hAnsi="Calibri"/>
          <w:b/>
          <w:i w:val="0"/>
          <w:color w:val="091D3A"/>
          <w:sz w:val="22"/>
        </w:rPr>
        <w:t xml:space="preserve">Submit the information request. </w:t>
      </w:r>
      <w:r>
        <w:rPr>
          <w:rFonts w:ascii="Calibri" w:hAnsi="Calibri"/>
          <w:b w:val="0"/>
          <w:i w:val="0"/>
          <w:color w:val="191F28"/>
          <w:sz w:val="22"/>
        </w:rPr>
        <w:t>Tell Stridelane which system and purchase path your program is considering. No payment is collected online.</w:t>
      </w:r>
    </w:p>
    <w:p>
      <w:pPr>
        <w:pStyle w:val="ListNumber"/>
      </w:pPr>
      <w:r>
        <w:rPr>
          <w:rFonts w:ascii="Calibri" w:hAnsi="Calibri"/>
          <w:b/>
          <w:i w:val="0"/>
          <w:color w:val="091D3A"/>
          <w:sz w:val="22"/>
        </w:rPr>
        <w:t xml:space="preserve">Confirm fit and terms. </w:t>
      </w:r>
      <w:r>
        <w:rPr>
          <w:rFonts w:ascii="Calibri" w:hAnsi="Calibri"/>
          <w:b w:val="0"/>
          <w:i w:val="0"/>
          <w:color w:val="191F28"/>
          <w:sz w:val="22"/>
        </w:rPr>
        <w:t>Stridelane reviews the configuration, buyer details, timing, and required procurement documents with your program.</w:t>
      </w:r>
    </w:p>
    <w:p>
      <w:pPr>
        <w:pStyle w:val="ListNumber"/>
      </w:pPr>
      <w:r>
        <w:rPr>
          <w:rFonts w:ascii="Calibri" w:hAnsi="Calibri"/>
          <w:b/>
          <w:i w:val="0"/>
          <w:color w:val="091D3A"/>
          <w:sz w:val="22"/>
        </w:rPr>
        <w:t xml:space="preserve">Approve the written agreement. </w:t>
      </w:r>
      <w:r>
        <w:rPr>
          <w:rFonts w:ascii="Calibri" w:hAnsi="Calibri"/>
          <w:b w:val="0"/>
          <w:i w:val="0"/>
          <w:color w:val="191F28"/>
          <w:sz w:val="22"/>
        </w:rPr>
        <w:t>The system price is locked when the purchase agreement is signed. A purchase order may be used when required by the buyer.</w:t>
      </w:r>
    </w:p>
    <w:p>
      <w:pPr>
        <w:pStyle w:val="ListNumber"/>
      </w:pPr>
      <w:r>
        <w:rPr>
          <w:rFonts w:ascii="Calibri" w:hAnsi="Calibri"/>
          <w:b/>
          <w:i w:val="0"/>
          <w:color w:val="091D3A"/>
          <w:sz w:val="22"/>
        </w:rPr>
        <w:t xml:space="preserve">Complete the payment requirements. </w:t>
      </w:r>
      <w:r>
        <w:rPr>
          <w:rFonts w:ascii="Calibri" w:hAnsi="Calibri"/>
          <w:b w:val="0"/>
          <w:i w:val="0"/>
          <w:color w:val="191F28"/>
          <w:sz w:val="22"/>
        </w:rPr>
        <w:t>For a single-budget purchase, 50% is due before shipment and the remaining 50% is due after delivery, with both payments completed within the same budget cycle. The website does not collect payment.</w:t>
      </w:r>
    </w:p>
    <w:p>
      <w:pPr>
        <w:pStyle w:val="ListNumber"/>
      </w:pPr>
      <w:r>
        <w:rPr>
          <w:rFonts w:ascii="Calibri" w:hAnsi="Calibri"/>
          <w:b/>
          <w:i w:val="0"/>
          <w:color w:val="091D3A"/>
          <w:sz w:val="22"/>
        </w:rPr>
        <w:t xml:space="preserve">Receive and set up the system. </w:t>
      </w:r>
      <w:r>
        <w:rPr>
          <w:rFonts w:ascii="Calibri" w:hAnsi="Calibri"/>
          <w:b w:val="0"/>
          <w:i w:val="0"/>
          <w:color w:val="191F28"/>
          <w:sz w:val="22"/>
        </w:rPr>
        <w:t>Plan for approximately one hour with two people. The first early adopter batch begins delivery in October 2026.</w:t>
      </w:r>
    </w:p>
    <w:p>
      <w:pPr>
        <w:pStyle w:val="Heading1"/>
      </w:pPr>
      <w:r>
        <w:t>Two-budget-year purchase plan</w:t>
      </w:r>
    </w:p>
    <w:p>
      <w:r>
        <w:rPr>
          <w:rFonts w:ascii="Calibri" w:hAnsi="Calibri"/>
          <w:b w:val="0"/>
          <w:i w:val="0"/>
          <w:color w:val="191F28"/>
          <w:sz w:val="22"/>
        </w:rPr>
        <w:t>This optional flexibility plan carries a premium while Stridelane carries the unpaid balance into the next fiscal year. 400m: $26,499 total - $13,250 before delivery and $13,249 next budget year; save $1,500 with a single-budget purchase. 200m: $15,999 total - $8,000 before delivery and $7,999 next budget year; save $1,000 with a single-budget purchase. Use begins after the first payment; ownership transfers after the final payment. Both options include the same complete hardware and software.</w:t>
      </w:r>
    </w:p>
    <w:tbl>
      <w:tblPr>
        <w:tblW w:type="dxa" w:w="9360"/>
        <w:jc w:val="left"/>
        <w:tblLayout w:type="fixed"/>
        <w:tblLook w:firstColumn="1" w:firstRow="1" w:lastColumn="0" w:lastRow="0" w:noHBand="0" w:noVBand="1" w:val="04A0"/>
        <w:tblInd w:type="dxa" w:w="120"/>
      </w:tblPr>
      <w:tblGrid>
        <w:gridCol w:w="9360"/>
      </w:tblGrid>
      <w:tr>
        <w:trPr/>
        <w:tc>
          <w:tcPr>
            <w:tcW w:type="dxa" w:w="9360"/>
            <w:shd w:fill="EAF3FF"/>
            <w:tcBorders>
              <w:top w:val="single" w:sz="10" w:color="B9D7FF"/>
              <w:left w:val="single" w:sz="10" w:color="B9D7FF"/>
              <w:bottom w:val="single" w:sz="10" w:color="B9D7FF"/>
              <w:right w:val="single" w:sz="10" w:color="B9D7FF"/>
              <w:insideH w:val="single" w:sz="10" w:color="B9D7FF"/>
              <w:insideV w:val="single" w:sz="10" w:color="B9D7FF"/>
            </w:tcBorders>
            <w:vAlign w:val="center"/>
            <w:tcMar>
              <w:top w:w="80" w:type="dxa"/>
              <w:bottom w:w="80" w:type="dxa"/>
              <w:start w:w="120" w:type="dxa"/>
              <w:end w:w="120" w:type="dxa"/>
            </w:tcMar>
          </w:tcPr>
          <w:p>
            <w:pPr>
              <w:spacing w:after="0"/>
            </w:pPr>
            <w:r>
              <w:rPr>
                <w:rFonts w:ascii="Calibri" w:hAnsi="Calibri"/>
                <w:b/>
                <w:i w:val="0"/>
                <w:color w:val="091D3A"/>
                <w:sz w:val="22"/>
              </w:rPr>
              <w:t xml:space="preserve">Terms control: </w:t>
            </w:r>
            <w:r>
              <w:rPr>
                <w:rFonts w:ascii="Calibri" w:hAnsi="Calibri"/>
                <w:b w:val="0"/>
                <w:i w:val="0"/>
                <w:color w:val="191F28"/>
                <w:sz w:val="22"/>
              </w:rPr>
              <w:t>Website and packet information is a planning summary. Final scope, payment dates, financing terms, warranty coverage, and delivery commitments are stated in the signed agreement.</w:t>
            </w:r>
          </w:p>
        </w:tc>
      </w:tr>
    </w:tbl>
    <w:p>
      <w:pPr>
        <w:spacing w:after="40"/>
      </w:pPr>
    </w:p>
    <w:p>
      <w:pPr>
        <w:pStyle w:val="Heading1"/>
      </w:pPr>
      <w:r>
        <w:t>Information Stridelane needs</w:t>
      </w:r>
    </w:p>
    <w:p>
      <w:pPr>
        <w:pStyle w:val="ListBullet"/>
      </w:pPr>
      <w:r>
        <w:rPr>
          <w:rFonts w:ascii="Calibri" w:hAnsi="Calibri"/>
          <w:b w:val="0"/>
          <w:i w:val="0"/>
          <w:color w:val="191F28"/>
          <w:sz w:val="22"/>
        </w:rPr>
        <w:t>Program or organization legal name</w:t>
      </w:r>
    </w:p>
    <w:p>
      <w:pPr>
        <w:pStyle w:val="ListBullet"/>
      </w:pPr>
      <w:r>
        <w:rPr>
          <w:rFonts w:ascii="Calibri" w:hAnsi="Calibri"/>
          <w:b w:val="0"/>
          <w:i w:val="0"/>
          <w:color w:val="191F28"/>
          <w:sz w:val="22"/>
        </w:rPr>
        <w:t>Primary contact, title, email, and phone</w:t>
      </w:r>
    </w:p>
    <w:p>
      <w:pPr>
        <w:pStyle w:val="ListBullet"/>
      </w:pPr>
      <w:r>
        <w:rPr>
          <w:rFonts w:ascii="Calibri" w:hAnsi="Calibri"/>
          <w:b w:val="0"/>
          <w:i w:val="0"/>
          <w:color w:val="191F28"/>
          <w:sz w:val="22"/>
        </w:rPr>
        <w:t>Billing and delivery addresses</w:t>
      </w:r>
    </w:p>
    <w:p>
      <w:pPr>
        <w:pStyle w:val="ListBullet"/>
      </w:pPr>
      <w:r>
        <w:rPr>
          <w:rFonts w:ascii="Calibri" w:hAnsi="Calibri"/>
          <w:b w:val="0"/>
          <w:i w:val="0"/>
          <w:color w:val="191F28"/>
          <w:sz w:val="22"/>
        </w:rPr>
        <w:t>200m or 400m system selection</w:t>
      </w:r>
    </w:p>
    <w:p>
      <w:pPr>
        <w:pStyle w:val="ListBullet"/>
      </w:pPr>
      <w:r>
        <w:rPr>
          <w:rFonts w:ascii="Calibri" w:hAnsi="Calibri"/>
          <w:b w:val="0"/>
          <w:i w:val="0"/>
          <w:color w:val="191F28"/>
          <w:sz w:val="22"/>
        </w:rPr>
        <w:t>Indoor or outdoor track and intended placement</w:t>
      </w:r>
    </w:p>
    <w:p>
      <w:pPr>
        <w:pStyle w:val="ListBullet"/>
      </w:pPr>
      <w:r>
        <w:rPr>
          <w:rFonts w:ascii="Calibri" w:hAnsi="Calibri"/>
          <w:b w:val="0"/>
          <w:i w:val="0"/>
          <w:color w:val="191F28"/>
          <w:sz w:val="22"/>
        </w:rPr>
        <w:t>Target delivery timing</w:t>
      </w:r>
    </w:p>
    <w:p>
      <w:pPr>
        <w:pStyle w:val="ListBullet"/>
      </w:pPr>
      <w:r>
        <w:rPr>
          <w:rFonts w:ascii="Calibri" w:hAnsi="Calibri"/>
          <w:b w:val="0"/>
          <w:i w:val="0"/>
          <w:color w:val="191F28"/>
          <w:sz w:val="22"/>
        </w:rPr>
        <w:t>Purchase method: single-budget purchase, purchase order, or two-budget-year purchase plan</w:t>
      </w:r>
    </w:p>
    <w:p>
      <w:pPr>
        <w:pStyle w:val="ListBullet"/>
      </w:pPr>
      <w:r>
        <w:rPr>
          <w:rFonts w:ascii="Calibri" w:hAnsi="Calibri"/>
          <w:b w:val="0"/>
          <w:i w:val="0"/>
          <w:color w:val="191F28"/>
          <w:sz w:val="22"/>
        </w:rPr>
        <w:t>Tax-exempt documentation, if applicable</w:t>
      </w:r>
    </w:p>
    <w:p>
      <w:pPr>
        <w:pStyle w:val="Heading1"/>
      </w:pPr>
      <w:r>
        <w:t>Start the conversation</w:t>
      </w:r>
    </w:p>
    <w:p>
      <w:pPr>
        <w:spacing w:after="60"/>
      </w:pPr>
      <w:r>
        <w:rPr>
          <w:rFonts w:ascii="Calibri" w:hAnsi="Calibri"/>
          <w:b/>
          <w:i w:val="0"/>
          <w:color w:val="091D3A"/>
          <w:sz w:val="22"/>
        </w:rPr>
        <w:t xml:space="preserve">Website: </w:t>
      </w:r>
      <w:r>
        <w:rPr>
          <w:rFonts w:ascii="Calibri" w:hAnsi="Calibri"/>
          <w:b w:val="0"/>
          <w:i w:val="0"/>
          <w:color w:val="1677FF"/>
          <w:sz w:val="22"/>
        </w:rPr>
        <w:t>stride-lane.com/preorder.html</w:t>
      </w:r>
    </w:p>
    <w:p>
      <w:pPr>
        <w:spacing w:after="60"/>
      </w:pPr>
      <w:r>
        <w:rPr>
          <w:rFonts w:ascii="Calibri" w:hAnsi="Calibri"/>
          <w:b/>
          <w:i w:val="0"/>
          <w:color w:val="091D3A"/>
          <w:sz w:val="22"/>
        </w:rPr>
        <w:t xml:space="preserve">Email: </w:t>
      </w:r>
      <w:r>
        <w:rPr>
          <w:rFonts w:ascii="Calibri" w:hAnsi="Calibri"/>
          <w:b w:val="0"/>
          <w:i w:val="0"/>
          <w:color w:val="1677FF"/>
          <w:sz w:val="22"/>
        </w:rPr>
        <w:t>carsonlane@stride-lane.com</w:t>
      </w:r>
    </w:p>
    <w:sectPr w:rsidR="00FC693F" w:rsidRPr="0006063C" w:rsidSect="00034616">
      <w:footerReference w:type="default" r:id="rId9"/>
      <w:pgSz w:w="12240" w:h="15840"/>
      <w:pgMar w:top="1181" w:right="1440" w:bottom="1224"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80" w:after="0"/>
      <w:jc w:val="center"/>
    </w:pPr>
    <w:r>
      <w:rPr>
        <w:rFonts w:ascii="Calibri" w:hAnsi="Calibri"/>
        <w:b w:val="0"/>
        <w:i w:val="0"/>
        <w:color w:val="586270"/>
        <w:sz w:val="17"/>
      </w:rPr>
      <w:t>STRIDELANE  |  stride-lane.com  |  carsonlane@stride-lane.com</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Calibri" w:hAnsi="Calibri"/>
      <w:color w:val="191F28"/>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1677FF"/>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1677FF"/>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091D3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160" w:line="280" w:lineRule="auto"/>
      <w:ind w:left="720" w:hanging="360"/>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160" w:line="280" w:lineRule="auto"/>
      <w:ind w:left="720" w:hanging="360"/>
      <w:contextualSpacing/>
    </w:pPr>
    <w:rPr>
      <w:rFonts w:ascii="Calibri" w:hAnsi="Calibri"/>
      <w:sz w:val="22"/>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Stridelane System Buyer Packet</dc:title>
  <dc:subject>Pacing light system pricing, setup, purchase, and procurement information</dc:subject>
  <dc:creator>Stridelane</dc:creator>
  <cp:keywords/>
  <dc:description>Prepared for prospective Stridelane system buyers.</dc:description>
  <cp:lastModifiedBy/>
  <cp:revision>1</cp:revision>
  <dcterms:created xsi:type="dcterms:W3CDTF">2013-12-23T23:15:00Z</dcterms:created>
  <dcterms:modified xsi:type="dcterms:W3CDTF">2013-12-23T23:15:00Z</dcterms:modified>
  <cp:category/>
</cp:coreProperties>
</file>